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95" w:rsidRPr="00EB4FBD" w:rsidRDefault="00995695" w:rsidP="00995695">
      <w:pPr>
        <w:pStyle w:val="Footer"/>
        <w:rPr>
          <w:rFonts w:eastAsia="Times New Roman" w:cs="Arial"/>
          <w:sz w:val="18"/>
          <w:szCs w:val="18"/>
        </w:rPr>
      </w:pPr>
      <w:bookmarkStart w:id="0" w:name="_GoBack"/>
      <w:bookmarkEnd w:id="0"/>
      <w:r>
        <w:rPr>
          <w:rFonts w:ascii="ITC Zapf Chancery" w:hAnsi="ITC Zapf Chancery"/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1107A77" wp14:editId="7036D131">
            <wp:simplePos x="0" y="0"/>
            <wp:positionH relativeFrom="column">
              <wp:posOffset>4060825</wp:posOffset>
            </wp:positionH>
            <wp:positionV relativeFrom="paragraph">
              <wp:posOffset>-133350</wp:posOffset>
            </wp:positionV>
            <wp:extent cx="2049780" cy="862965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vigator_nova 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02042ADA" wp14:editId="74EC9CC6">
            <wp:simplePos x="0" y="0"/>
            <wp:positionH relativeFrom="column">
              <wp:posOffset>-343535</wp:posOffset>
            </wp:positionH>
            <wp:positionV relativeFrom="paragraph">
              <wp:posOffset>-53975</wp:posOffset>
            </wp:positionV>
            <wp:extent cx="829310" cy="780415"/>
            <wp:effectExtent l="0" t="0" r="889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sz w:val="24"/>
          <w:szCs w:val="24"/>
        </w:rPr>
        <w:t xml:space="preserve">              </w:t>
      </w:r>
      <w:r>
        <w:rPr>
          <w:rFonts w:eastAsia="Times New Roman" w:cs="Arial"/>
          <w:sz w:val="18"/>
          <w:szCs w:val="18"/>
        </w:rPr>
        <w:t xml:space="preserve">    T</w:t>
      </w:r>
      <w:r w:rsidRPr="00EB4FBD">
        <w:rPr>
          <w:rFonts w:eastAsia="Times New Roman" w:cs="Arial"/>
          <w:sz w:val="18"/>
          <w:szCs w:val="18"/>
        </w:rPr>
        <w:t>ehnička škola Slavonski Brod;</w:t>
      </w:r>
    </w:p>
    <w:p w:rsidR="00995695" w:rsidRPr="00EB4FBD" w:rsidRDefault="00995695" w:rsidP="00995695">
      <w:pPr>
        <w:pStyle w:val="Footer"/>
        <w:rPr>
          <w:rFonts w:eastAsia="Times New Roman" w:cs="Arial"/>
          <w:sz w:val="18"/>
          <w:szCs w:val="18"/>
        </w:rPr>
      </w:pPr>
      <w:r w:rsidRPr="00EB4FBD">
        <w:rPr>
          <w:rFonts w:eastAsia="Times New Roman" w:cs="Arial"/>
          <w:sz w:val="18"/>
          <w:szCs w:val="18"/>
        </w:rPr>
        <w:t xml:space="preserve">                   </w:t>
      </w:r>
      <w:r>
        <w:rPr>
          <w:rFonts w:eastAsia="Times New Roman" w:cs="Arial"/>
          <w:sz w:val="18"/>
          <w:szCs w:val="18"/>
        </w:rPr>
        <w:t xml:space="preserve">   </w:t>
      </w:r>
      <w:r w:rsidRPr="00EB4FBD">
        <w:rPr>
          <w:rFonts w:eastAsia="Times New Roman" w:cs="Arial"/>
          <w:sz w:val="18"/>
          <w:szCs w:val="18"/>
        </w:rPr>
        <w:t xml:space="preserve"> E. Kumičića 55, 35000 Slavonski Brod  </w:t>
      </w:r>
    </w:p>
    <w:p w:rsidR="00995695" w:rsidRPr="00EB4FBD" w:rsidRDefault="00995695" w:rsidP="00995695">
      <w:pPr>
        <w:pStyle w:val="Footer"/>
        <w:rPr>
          <w:rFonts w:eastAsia="Times New Roman" w:cs="Arial"/>
          <w:sz w:val="18"/>
          <w:szCs w:val="18"/>
        </w:rPr>
      </w:pPr>
      <w:r w:rsidRPr="00EB4FBD">
        <w:rPr>
          <w:rFonts w:eastAsia="Times New Roman" w:cs="Arial"/>
          <w:sz w:val="18"/>
          <w:szCs w:val="18"/>
        </w:rPr>
        <w:t xml:space="preserve">                  </w:t>
      </w:r>
      <w:r>
        <w:rPr>
          <w:rFonts w:eastAsia="Times New Roman" w:cs="Arial"/>
          <w:sz w:val="18"/>
          <w:szCs w:val="18"/>
        </w:rPr>
        <w:t xml:space="preserve">   </w:t>
      </w:r>
      <w:r w:rsidRPr="00EB4FBD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 </w:t>
      </w:r>
      <w:r w:rsidRPr="00EB4FBD">
        <w:rPr>
          <w:rFonts w:eastAsia="Times New Roman" w:cs="Arial"/>
          <w:sz w:val="18"/>
          <w:szCs w:val="18"/>
        </w:rPr>
        <w:t>+00385 (35) 411 478,</w:t>
      </w:r>
    </w:p>
    <w:p w:rsidR="00995695" w:rsidRPr="00EB4FBD" w:rsidRDefault="00995695" w:rsidP="00995695">
      <w:pPr>
        <w:pStyle w:val="Footer"/>
        <w:rPr>
          <w:rFonts w:eastAsia="Times New Roman" w:cs="Arial"/>
          <w:sz w:val="18"/>
          <w:szCs w:val="18"/>
          <w:lang w:val="en-US"/>
        </w:rPr>
      </w:pPr>
      <w:r w:rsidRPr="00EB4FBD">
        <w:rPr>
          <w:rFonts w:eastAsia="Times New Roman" w:cs="Arial"/>
          <w:sz w:val="18"/>
          <w:szCs w:val="18"/>
        </w:rPr>
        <w:t xml:space="preserve">                  </w:t>
      </w:r>
      <w:r>
        <w:rPr>
          <w:rFonts w:eastAsia="Times New Roman" w:cs="Arial"/>
          <w:sz w:val="18"/>
          <w:szCs w:val="18"/>
        </w:rPr>
        <w:t xml:space="preserve">   </w:t>
      </w:r>
      <w:r w:rsidRPr="00EB4FBD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 </w:t>
      </w:r>
      <w:r w:rsidRPr="00EB4FBD">
        <w:rPr>
          <w:rFonts w:eastAsia="Times New Roman" w:cs="Arial"/>
          <w:sz w:val="18"/>
          <w:szCs w:val="18"/>
        </w:rPr>
        <w:t xml:space="preserve">e-mail: </w:t>
      </w:r>
      <w:hyperlink r:id="rId8" w:history="1">
        <w:r w:rsidRPr="00EB4FBD">
          <w:rPr>
            <w:rFonts w:eastAsia="Times New Roman" w:cs="Arial"/>
            <w:color w:val="0000FF"/>
            <w:sz w:val="18"/>
            <w:szCs w:val="18"/>
            <w:u w:val="single"/>
            <w:lang w:val="en-US"/>
          </w:rPr>
          <w:t>tssb@skole.t-com.hr</w:t>
        </w:r>
      </w:hyperlink>
      <w:r w:rsidRPr="00EB4FBD">
        <w:rPr>
          <w:rFonts w:eastAsia="Times New Roman" w:cs="Arial"/>
          <w:sz w:val="18"/>
          <w:szCs w:val="18"/>
          <w:lang w:val="en-US"/>
        </w:rPr>
        <w:t xml:space="preserve">; </w:t>
      </w:r>
    </w:p>
    <w:p w:rsidR="00E32E4F" w:rsidRDefault="00995695" w:rsidP="00E32E4F">
      <w:pPr>
        <w:pStyle w:val="Footer"/>
        <w:rPr>
          <w:rStyle w:val="Hyperlink"/>
          <w:rFonts w:eastAsia="Times New Roman" w:cs="Arial"/>
          <w:sz w:val="18"/>
          <w:szCs w:val="18"/>
          <w:lang w:val="en-US"/>
        </w:rPr>
      </w:pPr>
      <w:r w:rsidRPr="00EB4FBD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hyperlink r:id="rId9" w:history="1">
        <w:r w:rsidRPr="00EB4FBD">
          <w:rPr>
            <w:rStyle w:val="Hyperlink"/>
            <w:rFonts w:eastAsia="Times New Roman" w:cs="Arial"/>
            <w:sz w:val="18"/>
            <w:szCs w:val="18"/>
            <w:lang w:val="en-US"/>
          </w:rPr>
          <w:t>www.tssb.hr</w:t>
        </w:r>
      </w:hyperlink>
    </w:p>
    <w:p w:rsidR="00502DF6" w:rsidRDefault="00502DF6" w:rsidP="00E32E4F">
      <w:pPr>
        <w:pStyle w:val="Footer"/>
        <w:rPr>
          <w:rStyle w:val="Hyperlink"/>
          <w:rFonts w:eastAsia="Times New Roman" w:cs="Arial"/>
          <w:sz w:val="18"/>
          <w:szCs w:val="18"/>
          <w:lang w:val="en-US"/>
        </w:rPr>
      </w:pPr>
    </w:p>
    <w:p w:rsidR="00840306" w:rsidRPr="00E32E4F" w:rsidRDefault="00840306" w:rsidP="00E32E4F">
      <w:pPr>
        <w:pStyle w:val="Footer"/>
        <w:rPr>
          <w:rFonts w:cs="Arial"/>
          <w:sz w:val="18"/>
          <w:szCs w:val="18"/>
        </w:rPr>
      </w:pPr>
    </w:p>
    <w:p w:rsidR="007D6503" w:rsidRDefault="007D6503" w:rsidP="004E1AB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24"/>
        </w:rPr>
      </w:pPr>
    </w:p>
    <w:p w:rsidR="00485135" w:rsidRPr="000A7D58" w:rsidRDefault="00485135" w:rsidP="004E1AB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24"/>
        </w:rPr>
      </w:pPr>
      <w:r w:rsidRPr="000A7D58">
        <w:rPr>
          <w:rFonts w:asciiTheme="majorHAnsi" w:hAnsiTheme="majorHAnsi"/>
          <w:b/>
          <w:i/>
          <w:sz w:val="36"/>
          <w:szCs w:val="24"/>
        </w:rPr>
        <w:t xml:space="preserve">CENTAR ZA SAVJETOVANJE </w:t>
      </w:r>
    </w:p>
    <w:p w:rsidR="003D5EF0" w:rsidRPr="000A7D58" w:rsidRDefault="00485135" w:rsidP="004E1AB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24"/>
        </w:rPr>
      </w:pPr>
      <w:r w:rsidRPr="000A7D58">
        <w:rPr>
          <w:rFonts w:asciiTheme="majorHAnsi" w:hAnsiTheme="majorHAnsi"/>
          <w:b/>
          <w:i/>
          <w:sz w:val="36"/>
          <w:szCs w:val="24"/>
        </w:rPr>
        <w:t>RODITELJA I MLADIH</w:t>
      </w:r>
    </w:p>
    <w:p w:rsidR="00485135" w:rsidRPr="000A7D58" w:rsidRDefault="00485135" w:rsidP="004E1AB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24"/>
        </w:rPr>
      </w:pPr>
      <w:r w:rsidRPr="000A7D58">
        <w:rPr>
          <w:rFonts w:asciiTheme="majorHAnsi" w:hAnsiTheme="majorHAnsi"/>
          <w:b/>
          <w:i/>
          <w:sz w:val="36"/>
          <w:szCs w:val="24"/>
        </w:rPr>
        <w:t>„NAVIGATOR“</w:t>
      </w:r>
    </w:p>
    <w:p w:rsidR="00840306" w:rsidRPr="000A7D58" w:rsidRDefault="00840306" w:rsidP="00E32E4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32E4F" w:rsidRPr="000A7D58" w:rsidRDefault="00E32E4F" w:rsidP="00E32E4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eGrid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536"/>
      </w:tblGrid>
      <w:tr w:rsidR="00A411BE" w:rsidRPr="000A7D58" w:rsidTr="00621819">
        <w:tc>
          <w:tcPr>
            <w:tcW w:w="250" w:type="dxa"/>
          </w:tcPr>
          <w:p w:rsidR="00A411BE" w:rsidRPr="000A7D58" w:rsidRDefault="00A411BE" w:rsidP="00E32E4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7D58">
              <w:rPr>
                <w:rFonts w:asciiTheme="majorHAnsi" w:hAnsiTheme="majorHAnsi"/>
                <w:b/>
                <w:i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80786C0" wp14:editId="13C94CC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36830</wp:posOffset>
                  </wp:positionV>
                  <wp:extent cx="2316480" cy="2057400"/>
                  <wp:effectExtent l="0" t="0" r="762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K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235" cy="205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1BE" w:rsidRPr="000A7D58" w:rsidRDefault="00A411BE" w:rsidP="00A411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1BE" w:rsidRPr="000A7D58" w:rsidRDefault="00A411BE" w:rsidP="00A411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1BE" w:rsidRPr="000A7D58" w:rsidRDefault="00A411BE" w:rsidP="00A411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1BE" w:rsidRPr="000A7D58" w:rsidRDefault="00A411BE" w:rsidP="00A411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1BE" w:rsidRPr="000A7D58" w:rsidRDefault="00A411BE" w:rsidP="00A411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11BE" w:rsidRPr="000A7D58" w:rsidRDefault="00A411BE" w:rsidP="00A411B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A411BE" w:rsidRPr="000A7D58" w:rsidRDefault="002628C4" w:rsidP="00A411BE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ITC Zapf Chancery" w:hAnsi="ITC Zapf Chancery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B72C946" wp14:editId="7DA0876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5162550</wp:posOffset>
                  </wp:positionV>
                  <wp:extent cx="5760720" cy="929640"/>
                  <wp:effectExtent l="0" t="0" r="0" b="381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502DF6" w:rsidRPr="000A7D58" w:rsidRDefault="00502DF6" w:rsidP="00502DF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621819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7D6503" w:rsidRDefault="007D6503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621819" w:rsidRDefault="000A7D58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br/>
            </w:r>
            <w:r w:rsidRPr="000A7D5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MISIJA</w:t>
            </w: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br/>
            </w: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br/>
            </w:r>
            <w:r w:rsidR="00F8609A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Misija Savjetovališta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je pružanje savjetodavne i stručne potpore u slučajevima </w:t>
            </w:r>
            <w:r w:rsidR="00F8609A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poteškoća u komunikaciji, poremećaja u ponašanju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te </w:t>
            </w:r>
            <w:r w:rsidR="00F8609A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detekciji i radu s </w:t>
            </w:r>
            <w:r w:rsidR="00621819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djecom i mladima koji</w:t>
            </w:r>
            <w:r w:rsidR="00F8609A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21819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imaju ADHD, </w:t>
            </w:r>
            <w:r w:rsidR="00D01D22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a </w:t>
            </w:r>
            <w:r w:rsidR="00621819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u svrhu </w:t>
            </w:r>
            <w:r w:rsidR="00621819" w:rsidRPr="007D6503">
              <w:rPr>
                <w:rFonts w:asciiTheme="majorHAnsi" w:hAnsiTheme="majorHAnsi"/>
                <w:i/>
                <w:sz w:val="24"/>
                <w:szCs w:val="24"/>
              </w:rPr>
              <w:t>osiguranja lakšeg i prikladnijeg</w:t>
            </w:r>
            <w:r w:rsidR="00D01D22">
              <w:rPr>
                <w:rFonts w:asciiTheme="majorHAnsi" w:hAnsiTheme="majorHAnsi"/>
                <w:i/>
                <w:sz w:val="24"/>
                <w:szCs w:val="24"/>
              </w:rPr>
              <w:t xml:space="preserve"> pristupa obrazovanju, uspješnije komunikacije i socijalne </w:t>
            </w:r>
            <w:proofErr w:type="spellStart"/>
            <w:r w:rsidR="00D01D22">
              <w:rPr>
                <w:rFonts w:asciiTheme="majorHAnsi" w:hAnsiTheme="majorHAnsi"/>
                <w:i/>
                <w:sz w:val="24"/>
                <w:szCs w:val="24"/>
              </w:rPr>
              <w:t>inkluzije</w:t>
            </w:r>
            <w:proofErr w:type="spellEnd"/>
            <w:r w:rsidR="00621819" w:rsidRPr="007D6503">
              <w:rPr>
                <w:rFonts w:asciiTheme="majorHAnsi" w:hAnsiTheme="majorHAnsi"/>
                <w:i/>
                <w:sz w:val="24"/>
                <w:szCs w:val="24"/>
              </w:rPr>
              <w:t xml:space="preserve"> istih</w:t>
            </w:r>
            <w:r w:rsidR="00621819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.</w:t>
            </w:r>
          </w:p>
          <w:p w:rsidR="000A7D58" w:rsidRPr="000A7D58" w:rsidRDefault="000A7D58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br/>
            </w:r>
            <w:r w:rsidRPr="000A7D5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VIZIJA</w:t>
            </w:r>
            <w:r w:rsidR="003E4A41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br/>
            </w: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br/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Vizija Savjetovališta je:</w:t>
            </w:r>
          </w:p>
          <w:p w:rsidR="000A7D58" w:rsidRPr="000A7D58" w:rsidRDefault="00621819" w:rsidP="000A7D58">
            <w:pPr>
              <w:numPr>
                <w:ilvl w:val="0"/>
                <w:numId w:val="3"/>
              </w:numPr>
              <w:spacing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• razvijati uspješnu komunikaciju</w:t>
            </w:r>
            <w:r w:rsidR="000A7D58"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i</w:t>
            </w: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zmeđu</w:t>
            </w:r>
            <w:r w:rsidR="000A7D58"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roditelja</w:t>
            </w:r>
            <w:r w:rsidR="002628C4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, nastavnika</w:t>
            </w: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i </w:t>
            </w:r>
            <w:r w:rsidR="000A7D58"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mladih;</w:t>
            </w:r>
          </w:p>
          <w:p w:rsidR="000A7D58" w:rsidRPr="000A7D58" w:rsidRDefault="002628C4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• povećati kvalitetu života i </w:t>
            </w:r>
            <w:r w:rsidR="00D01D22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školski uspjeh</w:t>
            </w: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osoba s poremećajima u ponašanju i ADHD-om</w:t>
            </w:r>
          </w:p>
          <w:p w:rsidR="003E4A41" w:rsidRDefault="003E4A41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3E4A41" w:rsidRDefault="003E4A41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3E4A41" w:rsidRDefault="003E4A41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3E4A41" w:rsidRDefault="003E4A41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3E4A41" w:rsidRDefault="003E4A41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3E4A41" w:rsidRDefault="003E4A41" w:rsidP="000A7D58">
            <w:pPr>
              <w:numPr>
                <w:ilvl w:val="0"/>
                <w:numId w:val="3"/>
              </w:numPr>
              <w:spacing w:after="240"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3E4A41" w:rsidRDefault="003E4A41" w:rsidP="007D6503">
            <w:pPr>
              <w:spacing w:after="240"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7D6503" w:rsidRPr="000A7D58" w:rsidRDefault="007D6503" w:rsidP="007D650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7D5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Poštovani roditelji i mladi, </w:t>
            </w:r>
          </w:p>
          <w:p w:rsidR="007D6503" w:rsidRDefault="007D6503" w:rsidP="007D6503">
            <w:pPr>
              <w:spacing w:after="240"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2628C4" w:rsidRPr="007D6503" w:rsidRDefault="002628C4" w:rsidP="007D6503">
            <w:pPr>
              <w:shd w:val="clear" w:color="auto" w:fill="FFFF99"/>
              <w:ind w:firstLine="708"/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</w:pP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u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sklopu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završenih edukacija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projekta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Navigator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, Tehničkoj školi Slavonski Brod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iznimno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je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zadovoljstvo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predstaviti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D6503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Centar za savjetovanje roditelja i mladih „Navigator”.</w:t>
            </w:r>
          </w:p>
          <w:p w:rsidR="002628C4" w:rsidRPr="007D6503" w:rsidRDefault="002628C4" w:rsidP="007D6503">
            <w:pPr>
              <w:shd w:val="clear" w:color="auto" w:fill="FFFF99"/>
              <w:ind w:firstLine="708"/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</w:pPr>
          </w:p>
          <w:p w:rsidR="007D6503" w:rsidRPr="007D6503" w:rsidRDefault="002628C4" w:rsidP="007D6503">
            <w:pPr>
              <w:shd w:val="clear" w:color="auto" w:fill="FFFF99"/>
              <w:spacing w:line="315" w:lineRule="atLeast"/>
              <w:textAlignment w:val="baseline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>Savjetovalište "</w:t>
            </w:r>
            <w:r w:rsidRPr="007D650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>Navigator</w:t>
            </w:r>
            <w:r w:rsidRPr="000A7D58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 xml:space="preserve">" mjesto je pružanja konkretne pomoći </w:t>
            </w:r>
            <w:r w:rsidRPr="007D650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>i podrške učenicima</w:t>
            </w:r>
            <w:r w:rsidRPr="000A7D58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>, mladima i roditeljima kroz savjetovanje sa stručnim osobama</w:t>
            </w:r>
            <w:r w:rsidRPr="007D650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 xml:space="preserve"> koje su se kroz aktivnosti projekta Navigator educirale u područjima</w:t>
            </w:r>
            <w:r w:rsidR="007D650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>:</w:t>
            </w:r>
            <w:r w:rsidRPr="007D6503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hr-HR"/>
              </w:rPr>
              <w:t xml:space="preserve"> poremećaji u ponašanju, ADHD te koje su ujedno i licencirane Marte Meo terapeutkinje.</w:t>
            </w:r>
          </w:p>
          <w:p w:rsidR="007D6503" w:rsidRDefault="007D6503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0A7D58" w:rsidRDefault="000A7D58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CILJEVI RADA</w:t>
            </w:r>
          </w:p>
          <w:p w:rsidR="002628C4" w:rsidRPr="000A7D58" w:rsidRDefault="002628C4" w:rsidP="000A7D58">
            <w:pPr>
              <w:spacing w:line="315" w:lineRule="atLeast"/>
              <w:textAlignment w:val="baseline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</w:pPr>
          </w:p>
          <w:p w:rsidR="000A7D58" w:rsidRPr="000A7D58" w:rsidRDefault="000A7D58" w:rsidP="000A7D58">
            <w:pPr>
              <w:numPr>
                <w:ilvl w:val="0"/>
                <w:numId w:val="4"/>
              </w:numPr>
              <w:spacing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hr-HR"/>
              </w:rPr>
              <w:t xml:space="preserve">• 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pružanje besplatne stručne savjetodavne potpore mladima i roditeljima </w:t>
            </w:r>
            <w:r w:rsidR="00D01D22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pri pojavi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problema u ponašanju, poteškoća </w:t>
            </w:r>
            <w:r w:rsidR="00D01D22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u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učenju</w:t>
            </w:r>
            <w:r w:rsidR="002628C4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i komunikaciji te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životnih kriza mladih ljudi;</w:t>
            </w:r>
          </w:p>
          <w:p w:rsidR="000A7D58" w:rsidRPr="000A7D58" w:rsidRDefault="002628C4" w:rsidP="000A7D58">
            <w:pPr>
              <w:numPr>
                <w:ilvl w:val="0"/>
                <w:numId w:val="4"/>
              </w:numPr>
              <w:spacing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• </w:t>
            </w:r>
            <w:r w:rsidR="000A7D58"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osnaživanje i p</w:t>
            </w:r>
            <w:r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ovećanje samopoštovanja mladih i roditelja </w:t>
            </w:r>
          </w:p>
          <w:p w:rsidR="000A7D58" w:rsidRPr="000A7D58" w:rsidRDefault="000A7D58" w:rsidP="000A7D58">
            <w:pPr>
              <w:numPr>
                <w:ilvl w:val="0"/>
                <w:numId w:val="4"/>
              </w:numPr>
              <w:spacing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• educiranje i povećanje svijesti mladih, roditelja i osoba koje</w:t>
            </w:r>
            <w:r w:rsidR="002628C4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s njima rade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o problemima s kojima se </w:t>
            </w:r>
            <w:r w:rsidR="002628C4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oni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svakodnevno susreću te njihovo aktivno uključivanje u </w:t>
            </w:r>
            <w:r w:rsidR="002628C4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društvo</w:t>
            </w: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;</w:t>
            </w:r>
          </w:p>
          <w:p w:rsidR="000A7D58" w:rsidRPr="000A7D58" w:rsidRDefault="000A7D58" w:rsidP="000A7D58">
            <w:pPr>
              <w:numPr>
                <w:ilvl w:val="0"/>
                <w:numId w:val="4"/>
              </w:numPr>
              <w:spacing w:line="315" w:lineRule="atLeast"/>
              <w:ind w:left="0"/>
              <w:textAlignment w:val="baseline"/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</w:pPr>
            <w:r w:rsidRPr="000A7D58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>• širenje suradničke mreže s drugim relevantnim</w:t>
            </w:r>
            <w:r w:rsidR="002628C4" w:rsidRPr="007D6503"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hr-HR"/>
              </w:rPr>
              <w:t xml:space="preserve"> institucijama i organizacijama.</w:t>
            </w:r>
          </w:p>
          <w:p w:rsidR="00A411BE" w:rsidRPr="000A7D58" w:rsidRDefault="00A411BE" w:rsidP="00A411BE">
            <w:pPr>
              <w:tabs>
                <w:tab w:val="left" w:pos="204"/>
                <w:tab w:val="right" w:pos="4428"/>
              </w:tabs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411BE" w:rsidRDefault="00A411BE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CC444D" w:rsidRDefault="00CC444D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CC444D" w:rsidRDefault="00CC444D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CC444D" w:rsidRDefault="00CC444D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CC444D" w:rsidRPr="000A7D58" w:rsidRDefault="00CC444D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ra</w:t>
            </w:r>
          </w:p>
          <w:p w:rsidR="00A411BE" w:rsidRPr="000A7D58" w:rsidRDefault="00A411BE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411BE" w:rsidRPr="000A7D58" w:rsidRDefault="00A411BE" w:rsidP="00A411B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411BE" w:rsidRPr="000A7D58" w:rsidRDefault="00A411BE" w:rsidP="00A411BE">
            <w:pPr>
              <w:pStyle w:val="ListParagrap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E60912" w:rsidRPr="00E60912" w:rsidRDefault="00CC444D" w:rsidP="004E1AB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E60912">
        <w:rPr>
          <w:rFonts w:asciiTheme="majorHAnsi" w:hAnsiTheme="majorHAnsi"/>
          <w:sz w:val="24"/>
          <w:szCs w:val="28"/>
        </w:rPr>
        <w:lastRenderedPageBreak/>
        <w:t xml:space="preserve">Pri Centru za savjetovanje roditelja i mladih „Navigator“ </w:t>
      </w:r>
      <w:r w:rsidR="00E60912" w:rsidRPr="00E60912">
        <w:rPr>
          <w:rFonts w:asciiTheme="majorHAnsi" w:hAnsiTheme="majorHAnsi"/>
          <w:sz w:val="24"/>
          <w:szCs w:val="28"/>
        </w:rPr>
        <w:t>pomoć i podršku će Vam pružiti:</w:t>
      </w:r>
    </w:p>
    <w:p w:rsidR="00CC444D" w:rsidRPr="00E60912" w:rsidRDefault="00CC444D" w:rsidP="004E1AB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E60912">
        <w:rPr>
          <w:rFonts w:asciiTheme="majorHAnsi" w:hAnsiTheme="majorHAnsi"/>
          <w:b/>
          <w:sz w:val="24"/>
          <w:szCs w:val="28"/>
        </w:rPr>
        <w:t>Nada Galić</w:t>
      </w:r>
      <w:r w:rsidRPr="00E60912">
        <w:rPr>
          <w:rFonts w:asciiTheme="majorHAnsi" w:hAnsiTheme="majorHAnsi"/>
          <w:sz w:val="24"/>
          <w:szCs w:val="28"/>
        </w:rPr>
        <w:t>, prof. hrvatskog jezika i književnosti,</w:t>
      </w:r>
    </w:p>
    <w:p w:rsidR="00CC444D" w:rsidRPr="00E60912" w:rsidRDefault="00CC444D" w:rsidP="00CC444D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E60912">
        <w:rPr>
          <w:rFonts w:asciiTheme="majorHAnsi" w:hAnsiTheme="majorHAnsi"/>
          <w:b/>
          <w:sz w:val="24"/>
          <w:szCs w:val="28"/>
        </w:rPr>
        <w:t>Snježana Petrić Glavaš</w:t>
      </w:r>
      <w:r w:rsidRPr="00E60912">
        <w:rPr>
          <w:rFonts w:asciiTheme="majorHAnsi" w:hAnsiTheme="majorHAnsi"/>
          <w:sz w:val="24"/>
          <w:szCs w:val="28"/>
        </w:rPr>
        <w:t>, prof. hrvatskog jezika i književnosti,</w:t>
      </w:r>
    </w:p>
    <w:p w:rsidR="00CC444D" w:rsidRPr="00E60912" w:rsidRDefault="00E60912" w:rsidP="004E1AB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E60912">
        <w:rPr>
          <w:rFonts w:asciiTheme="majorHAnsi" w:hAnsiTheme="majorHAnsi"/>
          <w:b/>
          <w:sz w:val="24"/>
          <w:szCs w:val="28"/>
        </w:rPr>
        <w:t>Ana Zovko</w:t>
      </w:r>
      <w:r w:rsidRPr="00E60912">
        <w:rPr>
          <w:rFonts w:asciiTheme="majorHAnsi" w:hAnsiTheme="majorHAnsi"/>
          <w:sz w:val="24"/>
          <w:szCs w:val="28"/>
        </w:rPr>
        <w:t>, stručni suradnik pedagog</w:t>
      </w:r>
    </w:p>
    <w:p w:rsidR="00E60912" w:rsidRDefault="00E60912" w:rsidP="004E1AB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E60912" w:rsidRDefault="00E60912" w:rsidP="004E1AB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E60912">
        <w:rPr>
          <w:rFonts w:asciiTheme="majorHAnsi" w:hAnsiTheme="majorHAnsi"/>
          <w:sz w:val="24"/>
          <w:szCs w:val="28"/>
        </w:rPr>
        <w:t>Djelatnice Tehničke škole u sklopu edukacija IPA projekta Navigator prošle su sljedeće edukacije:</w:t>
      </w:r>
    </w:p>
    <w:p w:rsidR="00D01D22" w:rsidRPr="00E60912" w:rsidRDefault="00D01D22" w:rsidP="004E1AB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E60912" w:rsidRPr="00D01D22" w:rsidRDefault="00E60912" w:rsidP="004E1AB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1. Poremećaji u ponašanju i ADHD </w:t>
      </w:r>
    </w:p>
    <w:p w:rsidR="00E60912" w:rsidRPr="00D01D22" w:rsidRDefault="00E60912" w:rsidP="004E1AB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2. Marte Meo praktičar</w:t>
      </w:r>
    </w:p>
    <w:p w:rsidR="00E60912" w:rsidRDefault="00E60912" w:rsidP="004E1AB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3. Marte Meo terapeut </w:t>
      </w:r>
    </w:p>
    <w:p w:rsidR="00E60912" w:rsidRDefault="00E60912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E60912" w:rsidRDefault="00E60912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Default="0012124B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CC444D" w:rsidRDefault="00CC444D" w:rsidP="004E1AB5">
      <w:pPr>
        <w:spacing w:after="0" w:line="240" w:lineRule="auto"/>
        <w:rPr>
          <w:rFonts w:ascii="ITC Zapf Chancery" w:hAnsi="ITC Zapf Chancery"/>
          <w:b/>
          <w:sz w:val="28"/>
          <w:szCs w:val="28"/>
        </w:rPr>
      </w:pPr>
    </w:p>
    <w:p w:rsidR="0012124B" w:rsidRPr="00D01D22" w:rsidRDefault="0012124B" w:rsidP="004E1AB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D01D22">
        <w:rPr>
          <w:rFonts w:asciiTheme="majorHAnsi" w:hAnsiTheme="majorHAnsi"/>
          <w:b/>
          <w:sz w:val="24"/>
          <w:szCs w:val="28"/>
        </w:rPr>
        <w:t xml:space="preserve">Centar za savjetovanje roditelja i mladih „Navigator“ nalazi se u Tehničkoj školi Slavonski Brod, Eugena Kumičića 55 </w:t>
      </w:r>
    </w:p>
    <w:p w:rsidR="0012124B" w:rsidRPr="00D01D22" w:rsidRDefault="0012124B" w:rsidP="004E1AB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D01D22">
        <w:rPr>
          <w:rFonts w:asciiTheme="majorHAnsi" w:hAnsiTheme="majorHAnsi"/>
          <w:b/>
          <w:sz w:val="24"/>
          <w:szCs w:val="28"/>
        </w:rPr>
        <w:lastRenderedPageBreak/>
        <w:t>( 1.</w:t>
      </w:r>
      <w:r w:rsidR="00D01D22" w:rsidRPr="00D01D22">
        <w:rPr>
          <w:rFonts w:asciiTheme="majorHAnsi" w:hAnsiTheme="majorHAnsi"/>
          <w:b/>
          <w:sz w:val="24"/>
          <w:szCs w:val="28"/>
        </w:rPr>
        <w:t xml:space="preserve"> </w:t>
      </w:r>
      <w:r w:rsidRPr="00D01D22">
        <w:rPr>
          <w:rFonts w:asciiTheme="majorHAnsi" w:hAnsiTheme="majorHAnsi"/>
          <w:b/>
          <w:sz w:val="24"/>
          <w:szCs w:val="28"/>
        </w:rPr>
        <w:t>kat, kabinet br. 4.)</w:t>
      </w:r>
    </w:p>
    <w:p w:rsidR="0012124B" w:rsidRDefault="0012124B" w:rsidP="004E1AB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A411BE" w:rsidRPr="00D01D22" w:rsidRDefault="00CC444D" w:rsidP="004E1AB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01D22">
        <w:rPr>
          <w:rFonts w:asciiTheme="majorHAnsi" w:hAnsiTheme="majorHAnsi"/>
          <w:b/>
          <w:sz w:val="28"/>
          <w:szCs w:val="28"/>
        </w:rPr>
        <w:t>Radno vrijeme</w:t>
      </w:r>
      <w:r w:rsidR="00D01D22" w:rsidRPr="00D01D22">
        <w:rPr>
          <w:rFonts w:asciiTheme="majorHAnsi" w:hAnsiTheme="majorHAnsi"/>
          <w:b/>
          <w:sz w:val="28"/>
          <w:szCs w:val="28"/>
        </w:rPr>
        <w:t xml:space="preserve"> Centra za savjetovanje roditelja i mladih „Navigator“</w:t>
      </w:r>
      <w:r w:rsidRPr="00D01D22">
        <w:rPr>
          <w:rFonts w:asciiTheme="majorHAnsi" w:hAnsiTheme="majorHAnsi"/>
          <w:b/>
          <w:sz w:val="28"/>
          <w:szCs w:val="28"/>
        </w:rPr>
        <w:t>:</w:t>
      </w:r>
    </w:p>
    <w:p w:rsidR="00CC444D" w:rsidRPr="00E60912" w:rsidRDefault="00CC444D" w:rsidP="004E1AB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CC444D" w:rsidRPr="00E60912" w:rsidRDefault="00CC444D" w:rsidP="004E1AB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60912">
        <w:rPr>
          <w:rFonts w:asciiTheme="majorHAnsi" w:hAnsiTheme="majorHAnsi"/>
          <w:b/>
          <w:sz w:val="28"/>
          <w:szCs w:val="28"/>
        </w:rPr>
        <w:t>PONEDJELJAK:</w:t>
      </w:r>
      <w:r w:rsidR="008F01CF">
        <w:rPr>
          <w:rFonts w:asciiTheme="majorHAnsi" w:hAnsiTheme="majorHAnsi"/>
          <w:b/>
          <w:sz w:val="28"/>
          <w:szCs w:val="28"/>
        </w:rPr>
        <w:t xml:space="preserve"> 15</w:t>
      </w:r>
      <w:r w:rsidR="00B14D2B">
        <w:rPr>
          <w:rFonts w:asciiTheme="majorHAnsi" w:hAnsiTheme="majorHAnsi"/>
          <w:b/>
          <w:sz w:val="28"/>
          <w:szCs w:val="28"/>
        </w:rPr>
        <w:t>:00h –</w:t>
      </w:r>
      <w:r w:rsidR="008F01CF">
        <w:rPr>
          <w:rFonts w:asciiTheme="majorHAnsi" w:hAnsiTheme="majorHAnsi"/>
          <w:b/>
          <w:sz w:val="28"/>
          <w:szCs w:val="28"/>
        </w:rPr>
        <w:t xml:space="preserve"> 16</w:t>
      </w:r>
      <w:r w:rsidR="00B14D2B">
        <w:rPr>
          <w:rFonts w:asciiTheme="majorHAnsi" w:hAnsiTheme="majorHAnsi"/>
          <w:b/>
          <w:sz w:val="28"/>
          <w:szCs w:val="28"/>
        </w:rPr>
        <w:t>:</w:t>
      </w:r>
      <w:r w:rsidR="008F01CF">
        <w:rPr>
          <w:rFonts w:asciiTheme="majorHAnsi" w:hAnsiTheme="majorHAnsi"/>
          <w:b/>
          <w:sz w:val="28"/>
          <w:szCs w:val="28"/>
        </w:rPr>
        <w:t>3</w:t>
      </w:r>
      <w:r w:rsidR="00B14D2B">
        <w:rPr>
          <w:rFonts w:asciiTheme="majorHAnsi" w:hAnsiTheme="majorHAnsi"/>
          <w:b/>
          <w:sz w:val="28"/>
          <w:szCs w:val="28"/>
        </w:rPr>
        <w:t>0h</w:t>
      </w:r>
      <w:r w:rsidR="008F01CF">
        <w:rPr>
          <w:rFonts w:asciiTheme="majorHAnsi" w:hAnsiTheme="majorHAnsi"/>
          <w:b/>
          <w:sz w:val="28"/>
          <w:szCs w:val="28"/>
        </w:rPr>
        <w:t xml:space="preserve"> </w:t>
      </w:r>
      <w:r w:rsidR="008F01CF" w:rsidRPr="008F01CF">
        <w:rPr>
          <w:rFonts w:asciiTheme="majorHAnsi" w:hAnsiTheme="majorHAnsi"/>
          <w:sz w:val="28"/>
          <w:szCs w:val="28"/>
        </w:rPr>
        <w:t xml:space="preserve">(Ana Zovko, </w:t>
      </w:r>
      <w:proofErr w:type="spellStart"/>
      <w:r w:rsidR="008F01CF" w:rsidRPr="008F01CF">
        <w:rPr>
          <w:rFonts w:asciiTheme="majorHAnsi" w:hAnsiTheme="majorHAnsi"/>
          <w:sz w:val="28"/>
          <w:szCs w:val="28"/>
        </w:rPr>
        <w:t>mag</w:t>
      </w:r>
      <w:proofErr w:type="spellEnd"/>
      <w:r w:rsidR="008F01CF" w:rsidRPr="008F01CF">
        <w:rPr>
          <w:rFonts w:asciiTheme="majorHAnsi" w:hAnsiTheme="majorHAnsi"/>
          <w:sz w:val="28"/>
          <w:szCs w:val="28"/>
        </w:rPr>
        <w:t>. ped. i fil.)</w:t>
      </w:r>
      <w:r w:rsidR="008F01CF">
        <w:rPr>
          <w:rFonts w:asciiTheme="majorHAnsi" w:hAnsiTheme="majorHAnsi"/>
          <w:b/>
          <w:sz w:val="28"/>
          <w:szCs w:val="28"/>
        </w:rPr>
        <w:t xml:space="preserve"> </w:t>
      </w:r>
    </w:p>
    <w:p w:rsidR="00CC444D" w:rsidRDefault="00CC444D" w:rsidP="004E1AB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60912">
        <w:rPr>
          <w:rFonts w:asciiTheme="majorHAnsi" w:hAnsiTheme="majorHAnsi"/>
          <w:b/>
          <w:sz w:val="28"/>
          <w:szCs w:val="28"/>
        </w:rPr>
        <w:t>ČETVRTAK:</w:t>
      </w:r>
      <w:r w:rsidR="008F01CF">
        <w:rPr>
          <w:rFonts w:asciiTheme="majorHAnsi" w:hAnsiTheme="majorHAnsi"/>
          <w:b/>
          <w:sz w:val="28"/>
          <w:szCs w:val="28"/>
        </w:rPr>
        <w:t xml:space="preserve"> 14:45h – 16:15h</w:t>
      </w:r>
    </w:p>
    <w:p w:rsidR="008F01CF" w:rsidRPr="008F01CF" w:rsidRDefault="008F01CF" w:rsidP="004E1AB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F01CF">
        <w:rPr>
          <w:rFonts w:asciiTheme="majorHAnsi" w:hAnsiTheme="majorHAnsi"/>
          <w:sz w:val="28"/>
          <w:szCs w:val="28"/>
        </w:rPr>
        <w:t>(Snježana Petrić Glavaš, prof.)</w:t>
      </w:r>
    </w:p>
    <w:p w:rsidR="00CC444D" w:rsidRDefault="00CC444D" w:rsidP="004E1AB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60912">
        <w:rPr>
          <w:rFonts w:asciiTheme="majorHAnsi" w:hAnsiTheme="majorHAnsi"/>
          <w:b/>
          <w:sz w:val="28"/>
          <w:szCs w:val="28"/>
        </w:rPr>
        <w:t>PETAK:</w:t>
      </w:r>
      <w:r w:rsidR="008F01CF">
        <w:rPr>
          <w:rFonts w:asciiTheme="majorHAnsi" w:hAnsiTheme="majorHAnsi"/>
          <w:b/>
          <w:sz w:val="28"/>
          <w:szCs w:val="28"/>
        </w:rPr>
        <w:t xml:space="preserve"> 11:00h – 12:30h</w:t>
      </w:r>
    </w:p>
    <w:p w:rsidR="008F01CF" w:rsidRPr="008F01CF" w:rsidRDefault="008F01CF" w:rsidP="004E1AB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F01CF">
        <w:rPr>
          <w:rFonts w:asciiTheme="majorHAnsi" w:hAnsiTheme="majorHAnsi"/>
          <w:sz w:val="28"/>
          <w:szCs w:val="28"/>
        </w:rPr>
        <w:t>(Nada Galić, prof.)</w:t>
      </w:r>
    </w:p>
    <w:sectPr w:rsidR="008F01CF" w:rsidRPr="008F01CF" w:rsidSect="007D6503">
      <w:pgSz w:w="11906" w:h="16838"/>
      <w:pgMar w:top="709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3EB"/>
    <w:multiLevelType w:val="multilevel"/>
    <w:tmpl w:val="10B0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05023"/>
    <w:multiLevelType w:val="hybridMultilevel"/>
    <w:tmpl w:val="23AE40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B8339F"/>
    <w:multiLevelType w:val="hybridMultilevel"/>
    <w:tmpl w:val="4C9C7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0A31"/>
    <w:multiLevelType w:val="multilevel"/>
    <w:tmpl w:val="474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5"/>
    <w:rsid w:val="000A7D58"/>
    <w:rsid w:val="0012124B"/>
    <w:rsid w:val="001D5199"/>
    <w:rsid w:val="002628C4"/>
    <w:rsid w:val="003D5EF0"/>
    <w:rsid w:val="003E4A41"/>
    <w:rsid w:val="00485135"/>
    <w:rsid w:val="004E1AB5"/>
    <w:rsid w:val="00502A3F"/>
    <w:rsid w:val="00502DF6"/>
    <w:rsid w:val="00621819"/>
    <w:rsid w:val="0077259A"/>
    <w:rsid w:val="007D6503"/>
    <w:rsid w:val="00840306"/>
    <w:rsid w:val="008F01CF"/>
    <w:rsid w:val="00995695"/>
    <w:rsid w:val="00A411BE"/>
    <w:rsid w:val="00B14D2B"/>
    <w:rsid w:val="00C01988"/>
    <w:rsid w:val="00CC444D"/>
    <w:rsid w:val="00D01D22"/>
    <w:rsid w:val="00E32E4F"/>
    <w:rsid w:val="00E60912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A5BC-216F-48AE-AB24-96A76959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95"/>
  </w:style>
  <w:style w:type="character" w:styleId="Hyperlink">
    <w:name w:val="Hyperlink"/>
    <w:basedOn w:val="DefaultParagraphFont"/>
    <w:uiPriority w:val="99"/>
    <w:unhideWhenUsed/>
    <w:rsid w:val="009956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A7D58"/>
    <w:rPr>
      <w:b/>
      <w:bCs/>
    </w:rPr>
  </w:style>
  <w:style w:type="character" w:customStyle="1" w:styleId="apple-converted-space">
    <w:name w:val="apple-converted-space"/>
    <w:basedOn w:val="DefaultParagraphFont"/>
    <w:rsid w:val="000A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skole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s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49F3-5342-417A-A754-B172C22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2014-10-06T15:53:00Z</cp:lastPrinted>
  <dcterms:created xsi:type="dcterms:W3CDTF">2014-10-10T10:43:00Z</dcterms:created>
  <dcterms:modified xsi:type="dcterms:W3CDTF">2014-10-10T10:43:00Z</dcterms:modified>
</cp:coreProperties>
</file>